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189"/>
        <w:gridCol w:w="3107"/>
        <w:gridCol w:w="759"/>
        <w:gridCol w:w="365"/>
        <w:gridCol w:w="467"/>
        <w:gridCol w:w="263"/>
        <w:gridCol w:w="379"/>
        <w:gridCol w:w="1095"/>
        <w:gridCol w:w="724"/>
        <w:gridCol w:w="899"/>
        <w:gridCol w:w="897"/>
        <w:gridCol w:w="896"/>
        <w:gridCol w:w="383"/>
        <w:gridCol w:w="350"/>
      </w:tblGrid>
      <w:tr w:rsidR="006007ED" w:rsidTr="00E74FA1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6007ED" w:rsidRDefault="006007ED"/>
        </w:tc>
        <w:tc>
          <w:tcPr>
            <w:tcW w:w="3107" w:type="dxa"/>
            <w:shd w:val="clear" w:color="auto" w:fill="auto"/>
            <w:vAlign w:val="bottom"/>
          </w:tcPr>
          <w:p w:rsidR="006007ED" w:rsidRDefault="006007ED"/>
        </w:tc>
        <w:tc>
          <w:tcPr>
            <w:tcW w:w="759" w:type="dxa"/>
            <w:shd w:val="clear" w:color="auto" w:fill="auto"/>
            <w:vAlign w:val="bottom"/>
          </w:tcPr>
          <w:p w:rsidR="006007ED" w:rsidRDefault="006007ED"/>
        </w:tc>
        <w:tc>
          <w:tcPr>
            <w:tcW w:w="365" w:type="dxa"/>
            <w:shd w:val="clear" w:color="auto" w:fill="auto"/>
            <w:vAlign w:val="bottom"/>
          </w:tcPr>
          <w:p w:rsidR="006007ED" w:rsidRDefault="006007ED"/>
        </w:tc>
        <w:tc>
          <w:tcPr>
            <w:tcW w:w="467" w:type="dxa"/>
            <w:shd w:val="clear" w:color="auto" w:fill="auto"/>
            <w:vAlign w:val="bottom"/>
          </w:tcPr>
          <w:p w:rsidR="006007ED" w:rsidRDefault="006007ED"/>
        </w:tc>
        <w:tc>
          <w:tcPr>
            <w:tcW w:w="263" w:type="dxa"/>
            <w:shd w:val="clear" w:color="auto" w:fill="auto"/>
            <w:vAlign w:val="bottom"/>
          </w:tcPr>
          <w:p w:rsidR="006007ED" w:rsidRDefault="006007ED"/>
        </w:tc>
        <w:tc>
          <w:tcPr>
            <w:tcW w:w="379" w:type="dxa"/>
            <w:shd w:val="clear" w:color="auto" w:fill="auto"/>
            <w:vAlign w:val="bottom"/>
          </w:tcPr>
          <w:p w:rsidR="006007ED" w:rsidRDefault="006007ED"/>
        </w:tc>
        <w:tc>
          <w:tcPr>
            <w:tcW w:w="1819" w:type="dxa"/>
            <w:gridSpan w:val="2"/>
            <w:shd w:val="clear" w:color="auto" w:fill="auto"/>
            <w:vAlign w:val="bottom"/>
          </w:tcPr>
          <w:p w:rsidR="006007ED" w:rsidRDefault="006007ED"/>
        </w:tc>
        <w:tc>
          <w:tcPr>
            <w:tcW w:w="899" w:type="dxa"/>
            <w:shd w:val="clear" w:color="auto" w:fill="auto"/>
            <w:vAlign w:val="bottom"/>
          </w:tcPr>
          <w:p w:rsidR="006007ED" w:rsidRDefault="006007ED"/>
        </w:tc>
        <w:tc>
          <w:tcPr>
            <w:tcW w:w="897" w:type="dxa"/>
            <w:shd w:val="clear" w:color="auto" w:fill="auto"/>
            <w:vAlign w:val="bottom"/>
          </w:tcPr>
          <w:p w:rsidR="006007ED" w:rsidRDefault="006007ED"/>
        </w:tc>
        <w:tc>
          <w:tcPr>
            <w:tcW w:w="896" w:type="dxa"/>
            <w:shd w:val="clear" w:color="auto" w:fill="auto"/>
            <w:vAlign w:val="bottom"/>
          </w:tcPr>
          <w:p w:rsidR="006007ED" w:rsidRDefault="006007ED"/>
        </w:tc>
        <w:tc>
          <w:tcPr>
            <w:tcW w:w="383" w:type="dxa"/>
            <w:shd w:val="clear" w:color="auto" w:fill="auto"/>
            <w:vAlign w:val="bottom"/>
          </w:tcPr>
          <w:p w:rsidR="006007ED" w:rsidRDefault="006007ED"/>
        </w:tc>
      </w:tr>
      <w:tr w:rsidR="006007ED" w:rsidRPr="00E74FA1" w:rsidTr="00E74FA1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  <w:gridSpan w:val="3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6007ED" w:rsidRPr="00E74FA1" w:rsidRDefault="006007E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gridSpan w:val="2"/>
            <w:vMerge w:val="restart"/>
            <w:shd w:val="clear" w:color="auto" w:fill="auto"/>
            <w:vAlign w:val="bottom"/>
          </w:tcPr>
          <w:p w:rsidR="006007ED" w:rsidRPr="00E74FA1" w:rsidRDefault="006007ED" w:rsidP="00E74FA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94" w:type="dxa"/>
            <w:gridSpan w:val="6"/>
            <w:shd w:val="clear" w:color="auto" w:fill="auto"/>
            <w:vAlign w:val="bottom"/>
          </w:tcPr>
          <w:p w:rsidR="006007ED" w:rsidRPr="00E74FA1" w:rsidRDefault="00E74FA1" w:rsidP="00E74F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4FA1">
              <w:rPr>
                <w:rFonts w:ascii="Times New Roman" w:hAnsi="Times New Roman" w:cs="Times New Roman"/>
                <w:sz w:val="18"/>
                <w:szCs w:val="18"/>
              </w:rPr>
              <w:t>Приложение №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5461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bookmarkStart w:id="0" w:name="_GoBack"/>
            <w:bookmarkEnd w:id="0"/>
          </w:p>
          <w:p w:rsidR="006007ED" w:rsidRPr="00E74FA1" w:rsidRDefault="00E74FA1" w:rsidP="00E74F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4FA1">
              <w:rPr>
                <w:rFonts w:ascii="Times New Roman" w:hAnsi="Times New Roman" w:cs="Times New Roman"/>
                <w:sz w:val="18"/>
                <w:szCs w:val="18"/>
              </w:rPr>
              <w:t>к Решению Совета Кондопожского городского поселения</w:t>
            </w:r>
          </w:p>
          <w:p w:rsidR="006007ED" w:rsidRPr="00E74FA1" w:rsidRDefault="00E74FA1" w:rsidP="00E74FA1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74FA1">
              <w:rPr>
                <w:rFonts w:ascii="Times New Roman" w:hAnsi="Times New Roman" w:cs="Times New Roman"/>
                <w:sz w:val="18"/>
                <w:szCs w:val="18"/>
              </w:rPr>
              <w:t>«О Бюджете Кондопожск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городского поселения на 2026 год и  на плановый период 2027 и 2028</w:t>
            </w:r>
            <w:r w:rsidRPr="00E74FA1">
              <w:rPr>
                <w:rFonts w:ascii="Times New Roman" w:hAnsi="Times New Roman" w:cs="Times New Roman"/>
                <w:sz w:val="18"/>
                <w:szCs w:val="18"/>
              </w:rPr>
              <w:t xml:space="preserve"> годов»</w:t>
            </w:r>
          </w:p>
          <w:p w:rsidR="006007ED" w:rsidRPr="00E74FA1" w:rsidRDefault="00CD6888" w:rsidP="00E74F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11 декабря 2025 года № __</w:t>
            </w:r>
            <w:r w:rsidR="00E74FA1" w:rsidRPr="00E74FA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007ED" w:rsidRPr="00E74FA1" w:rsidTr="00E74FA1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  <w:gridSpan w:val="3"/>
            <w:shd w:val="clear" w:color="auto" w:fill="auto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6007ED" w:rsidRPr="00E74FA1" w:rsidRDefault="006007ED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gridSpan w:val="2"/>
            <w:vMerge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gridSpan w:val="2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</w:tr>
      <w:tr w:rsidR="006007ED" w:rsidRPr="00E74FA1" w:rsidTr="00E74FA1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4" w:type="dxa"/>
            <w:gridSpan w:val="13"/>
            <w:vMerge w:val="restart"/>
            <w:shd w:val="clear" w:color="auto" w:fill="auto"/>
            <w:vAlign w:val="bottom"/>
          </w:tcPr>
          <w:p w:rsidR="006007ED" w:rsidRPr="000B56A0" w:rsidRDefault="00E74FA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B56A0">
              <w:rPr>
                <w:rFonts w:ascii="Times New Roman" w:hAnsi="Times New Roman" w:cs="Times New Roman"/>
                <w:b/>
                <w:sz w:val="19"/>
                <w:szCs w:val="19"/>
              </w:rPr>
              <w:t>Распределение бюджетных ассигнований на 2027 год по целевым статьям (муниципальным программам и непрограммным направлениям деятельности),</w:t>
            </w:r>
            <w:r w:rsidR="000B56A0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0B56A0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группам и подгруппам </w:t>
            </w:r>
            <w:proofErr w:type="gramStart"/>
            <w:r w:rsidRPr="000B56A0">
              <w:rPr>
                <w:rFonts w:ascii="Times New Roman" w:hAnsi="Times New Roman" w:cs="Times New Roman"/>
                <w:b/>
                <w:sz w:val="19"/>
                <w:szCs w:val="19"/>
              </w:rPr>
              <w:t>видов расходов классификации расходов бюджетов Бюджета</w:t>
            </w:r>
            <w:proofErr w:type="gramEnd"/>
            <w:r w:rsidRPr="000B56A0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Кондопожского городского поселения</w:t>
            </w:r>
          </w:p>
        </w:tc>
      </w:tr>
      <w:tr w:rsidR="006007ED" w:rsidRPr="00E74FA1" w:rsidTr="00E74FA1">
        <w:trPr>
          <w:cantSplit/>
        </w:trPr>
        <w:tc>
          <w:tcPr>
            <w:tcW w:w="189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84" w:type="dxa"/>
            <w:gridSpan w:val="13"/>
            <w:vMerge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</w:tr>
      <w:tr w:rsidR="006007ED" w:rsidRPr="00E74FA1" w:rsidTr="00E74FA1">
        <w:trPr>
          <w:gridAfter w:val="1"/>
          <w:wAfter w:w="350" w:type="dxa"/>
          <w:cantSplit/>
        </w:trPr>
        <w:tc>
          <w:tcPr>
            <w:tcW w:w="189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3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gridSpan w:val="2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6007ED" w:rsidRPr="00E74FA1">
        <w:trPr>
          <w:cantSplit/>
          <w:trHeight w:val="1790"/>
          <w:tblHeader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07ED" w:rsidRPr="00E74FA1" w:rsidRDefault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7"/>
                <w:szCs w:val="17"/>
              </w:rPr>
              <w:t>Наименование</w:t>
            </w:r>
          </w:p>
        </w:tc>
        <w:tc>
          <w:tcPr>
            <w:tcW w:w="175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007ED" w:rsidRPr="00E74FA1" w:rsidRDefault="00E74FA1">
            <w:pPr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7"/>
                <w:szCs w:val="17"/>
              </w:rPr>
              <w:t>Целевой статьи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007ED" w:rsidRPr="00E74FA1" w:rsidRDefault="00E74FA1">
            <w:pPr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7"/>
                <w:szCs w:val="17"/>
              </w:rPr>
              <w:t>Вида расходов (группа, подгруппа)</w:t>
            </w:r>
          </w:p>
        </w:tc>
        <w:tc>
          <w:tcPr>
            <w:tcW w:w="29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007ED" w:rsidRPr="00E74FA1" w:rsidRDefault="00E74FA1">
            <w:pPr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7"/>
                <w:szCs w:val="17"/>
              </w:rPr>
              <w:t>Бюджетные ассигнования сумма на год (руб</w:t>
            </w:r>
            <w:r w:rsidR="00CD6888">
              <w:rPr>
                <w:rFonts w:ascii="Times New Roman" w:hAnsi="Times New Roman" w:cs="Times New Roman"/>
                <w:b/>
                <w:sz w:val="17"/>
                <w:szCs w:val="17"/>
              </w:rPr>
              <w:t>лей</w:t>
            </w:r>
            <w:r w:rsidRPr="00E74FA1">
              <w:rPr>
                <w:rFonts w:ascii="Times New Roman" w:hAnsi="Times New Roman" w:cs="Times New Roman"/>
                <w:b/>
                <w:sz w:val="17"/>
                <w:szCs w:val="17"/>
              </w:rPr>
              <w:t>)</w:t>
            </w:r>
          </w:p>
        </w:tc>
      </w:tr>
      <w:tr w:rsidR="006007ED" w:rsidRPr="00E74FA1">
        <w:trPr>
          <w:cantSplit/>
          <w:trHeight w:val="14"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197"/>
        <w:gridCol w:w="4091"/>
        <w:gridCol w:w="1766"/>
        <w:gridCol w:w="1721"/>
        <w:gridCol w:w="3004"/>
      </w:tblGrid>
      <w:tr w:rsidR="006007ED" w:rsidRPr="00E74FA1">
        <w:trPr>
          <w:cantSplit/>
          <w:tblHeader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3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15"/>
              </w:rPr>
              <w:t>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0100000000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24 342 222,84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01К0100000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24 342 222,84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24 342 222,84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13 760 082,84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13 760 082,84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10 013 696,00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10 013 696,00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568 444,00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01К0141110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568 444,00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0200000000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25 071 044,31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02К0100000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25 045 625,63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25 045 625,63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11 593 931,12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Расходы на выплаты персоналу казенных учреждений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11 593 931,12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12 572 384,51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12 572 384,51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879 310,00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02К0140810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879 310,00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02К0200000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25 418,68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02К0240820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25 418,68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02К0240820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25 418,68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02К0240820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25 418,68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0300000000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85 845,36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«Пожарная безопасность»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03К0100000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4 365,36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03К0140311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4 365,36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03К0140311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4 365,36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03К0140311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4 365,36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Комплекс процессных мероприятий «Профилактика терроризма»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03К0200000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03К0240320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81 480,00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03К0240320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03К0240320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81 480,00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Непрограммные направления деятельности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139 830 812,44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1 816 594,59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1 783 729,59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1 783 729,59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32 865,00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Уплата налогов, сборов и иных платежей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5500040111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850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32 865,00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функционирования муниципальной системы оповещения населения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(МСОН) жителей города Кондопога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803 770,00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803 770,00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5500040312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803 770,00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разработку проектно-сметной документации для обеспечения первичных мер пожарной безопасности в границах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5500040314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3 727 152,00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5500040314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3 727 152,00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5500040314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3 727 152,00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Резервный фонд Администрации Кондопожского муниципального района на финансовое обеспечение расходов, связанных с введением режима повышенной готовности и/или при ликвидации последствий стихийных бедствий и других чрезвычайных ситуаций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500 000,00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500 000,00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5500040330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500 000,00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5 661 252,35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5 661 252,35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5 661 252,35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 в области жилищного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721 447,20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721 447,20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721 447,20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1 679 811,35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1 679 811,35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5500040511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1 679 811,35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 в области коммунального хозяйства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60 295,63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60 295,63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5500040512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60 295,63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Уличное освещение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5 513 838,21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5 513 838,21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5500040514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5 513 838,21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Озеленение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3 480 531,70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3 480 531,70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5500040515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3 480 531,70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Организация и содержание мест захоронения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5 106 746,48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5 106 746,48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5 106 746,48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Прочие мероприятия по благоустройству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18 258 498,35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18 258 498,35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5500040517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18 258 498,35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6 686 121,31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6 686 121,31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5500040518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6 686 121,31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5500040710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254 518,21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254 518,21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5500040710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254 518,21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5500073750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2 000,00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5500073750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5500073750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2 000,00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1 180 244,64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Социальное обеспечение и иные выплаты населению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300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Публичные нормативные социальные выплаты гражданам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5500081000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310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1 180 244,64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5 311 284,20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400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5 311 284,20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Бюджетные инвестиции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5500090510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410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5 311 284,20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550009Д010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70 964 635,48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550009Д010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70 964 635,48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550009Д010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240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70 964 635,48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55НИ400000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8 102 070,74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19"/>
                <w:szCs w:val="19"/>
              </w:rPr>
              <w:t>8 102 070,74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Иные бюджетные ассигнования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800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8 102 070,74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007ED" w:rsidRPr="00E74FA1" w:rsidRDefault="00E74FA1">
            <w:pPr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Резервные средства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55НИ455550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 w:rsidP="00E74FA1">
            <w:pPr>
              <w:wordWrap w:val="0"/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870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wordWrap w:val="0"/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szCs w:val="15"/>
              </w:rPr>
              <w:t>8 102 070,74</w:t>
            </w:r>
          </w:p>
        </w:tc>
      </w:tr>
      <w:tr w:rsidR="006007ED" w:rsidRPr="00E74FA1">
        <w:trPr>
          <w:cantSplit/>
        </w:trPr>
        <w:tc>
          <w:tcPr>
            <w:tcW w:w="195" w:type="dxa"/>
            <w:shd w:val="clear" w:color="auto" w:fill="auto"/>
            <w:vAlign w:val="bottom"/>
          </w:tcPr>
          <w:p w:rsidR="006007ED" w:rsidRPr="00E74FA1" w:rsidRDefault="00600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23"/>
                <w:szCs w:val="23"/>
              </w:rPr>
              <w:t>ИТОГО:</w:t>
            </w:r>
          </w:p>
        </w:tc>
        <w:tc>
          <w:tcPr>
            <w:tcW w:w="17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jc w:val="center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23"/>
                <w:szCs w:val="23"/>
              </w:rPr>
              <w:t>Х</w:t>
            </w:r>
          </w:p>
        </w:tc>
        <w:tc>
          <w:tcPr>
            <w:tcW w:w="29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007ED" w:rsidRPr="00E74FA1" w:rsidRDefault="00E74FA1">
            <w:pPr>
              <w:jc w:val="right"/>
              <w:rPr>
                <w:rFonts w:ascii="Times New Roman" w:hAnsi="Times New Roman" w:cs="Times New Roman"/>
              </w:rPr>
            </w:pPr>
            <w:r w:rsidRPr="00E74FA1">
              <w:rPr>
                <w:rFonts w:ascii="Times New Roman" w:hAnsi="Times New Roman" w:cs="Times New Roman"/>
                <w:b/>
                <w:sz w:val="23"/>
                <w:szCs w:val="23"/>
              </w:rPr>
              <w:t>189 329 924,95</w:t>
            </w:r>
          </w:p>
        </w:tc>
      </w:tr>
    </w:tbl>
    <w:p w:rsidR="008B0130" w:rsidRPr="00E74FA1" w:rsidRDefault="008B0130">
      <w:pPr>
        <w:rPr>
          <w:rFonts w:ascii="Times New Roman" w:hAnsi="Times New Roman" w:cs="Times New Roman"/>
        </w:rPr>
      </w:pPr>
    </w:p>
    <w:sectPr w:rsidR="008B0130" w:rsidRPr="00E74FA1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30" w:rsidRDefault="00E74FA1">
      <w:pPr>
        <w:spacing w:after="0" w:line="240" w:lineRule="auto"/>
      </w:pPr>
      <w:r>
        <w:separator/>
      </w:r>
    </w:p>
  </w:endnote>
  <w:endnote w:type="continuationSeparator" w:id="0">
    <w:p w:rsidR="008B0130" w:rsidRDefault="00E74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30" w:rsidRDefault="00E74FA1">
      <w:pPr>
        <w:spacing w:after="0" w:line="240" w:lineRule="auto"/>
      </w:pPr>
      <w:r>
        <w:separator/>
      </w:r>
    </w:p>
  </w:footnote>
  <w:footnote w:type="continuationSeparator" w:id="0">
    <w:p w:rsidR="008B0130" w:rsidRDefault="00E74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175445"/>
      <w:docPartObj>
        <w:docPartGallery w:val="Page Numbers (Top of Page)"/>
      </w:docPartObj>
    </w:sdtPr>
    <w:sdtEndPr/>
    <w:sdtContent>
      <w:p w:rsidR="006007ED" w:rsidRDefault="00E74FA1">
        <w:r>
          <w:ptab w:relativeTo="margin" w:alignment="right" w:leader="none"/>
        </w:r>
        <w:r>
          <w:rPr>
            <w:rFonts w:ascii="Arial" w:hAnsi="Arial"/>
            <w:sz w:val="15"/>
          </w:rPr>
          <w:t xml:space="preserve">Страница </w:t>
        </w:r>
        <w:r>
          <w:rPr>
            <w:rFonts w:ascii="Arial" w:hAnsi="Arial"/>
            <w:sz w:val="15"/>
          </w:rPr>
          <w:fldChar w:fldCharType="begin"/>
        </w:r>
        <w:r>
          <w:rPr>
            <w:rFonts w:ascii="Arial" w:hAnsi="Arial"/>
            <w:sz w:val="15"/>
          </w:rPr>
          <w:instrText>PAGE   \* MERGEFORMAT</w:instrText>
        </w:r>
        <w:r>
          <w:rPr>
            <w:rFonts w:ascii="Arial" w:hAnsi="Arial"/>
            <w:sz w:val="15"/>
          </w:rPr>
          <w:fldChar w:fldCharType="separate"/>
        </w:r>
        <w:r w:rsidR="0055461D">
          <w:rPr>
            <w:rFonts w:ascii="Arial" w:hAnsi="Arial"/>
            <w:noProof/>
            <w:sz w:val="15"/>
          </w:rPr>
          <w:t>4</w:t>
        </w:r>
        <w:r>
          <w:rPr>
            <w:rFonts w:ascii="Arial" w:hAnsi="Arial"/>
            <w:sz w:val="15"/>
          </w:rPr>
          <w:fldChar w:fldCharType="end"/>
        </w:r>
      </w:p>
    </w:sdtContent>
  </w:sdt>
  <w:p w:rsidR="006007ED" w:rsidRDefault="006007E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321329"/>
      <w:docPartObj>
        <w:docPartGallery w:val="Page Numbers (Top of Page)"/>
      </w:docPartObj>
    </w:sdtPr>
    <w:sdtEndPr/>
    <w:sdtContent>
      <w:p w:rsidR="006007ED" w:rsidRDefault="0055461D"/>
    </w:sdtContent>
  </w:sdt>
  <w:p w:rsidR="006007ED" w:rsidRDefault="006007E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07ED"/>
    <w:rsid w:val="000B56A0"/>
    <w:rsid w:val="00226C36"/>
    <w:rsid w:val="0055461D"/>
    <w:rsid w:val="006007ED"/>
    <w:rsid w:val="008B0130"/>
    <w:rsid w:val="00CD6888"/>
    <w:rsid w:val="00E7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5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Balloon Text"/>
    <w:basedOn w:val="a"/>
    <w:link w:val="a5"/>
    <w:uiPriority w:val="99"/>
    <w:semiHidden/>
    <w:unhideWhenUsed/>
    <w:rsid w:val="0055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46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6</cp:revision>
  <cp:lastPrinted>2025-11-11T15:05:00Z</cp:lastPrinted>
  <dcterms:created xsi:type="dcterms:W3CDTF">2025-11-11T11:44:00Z</dcterms:created>
  <dcterms:modified xsi:type="dcterms:W3CDTF">2025-11-11T15:05:00Z</dcterms:modified>
</cp:coreProperties>
</file>